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465F" w14:textId="77777777" w:rsidR="00A36383" w:rsidRDefault="00A36383"/>
    <w:p w14:paraId="22D64660" w14:textId="77777777" w:rsidR="009D2121" w:rsidRPr="009D2121" w:rsidRDefault="009D2121" w:rsidP="009D2121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>Dear Parent or Guardian,</w:t>
      </w:r>
    </w:p>
    <w:p w14:paraId="22D64661" w14:textId="215DBB28" w:rsidR="009D2121" w:rsidRPr="009D2121" w:rsidRDefault="009D2121" w:rsidP="009D2121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This autumn the school has chosen to support the Christmas box appeal run by </w:t>
      </w:r>
      <w:bookmarkStart w:id="0" w:name="_Hlk137043245"/>
      <w:r w:rsidR="0046347D">
        <w:rPr>
          <w:sz w:val="24"/>
          <w:szCs w:val="24"/>
        </w:rPr>
        <w:t>House of Opportunity</w:t>
      </w:r>
      <w:r w:rsidR="00323DC5">
        <w:rPr>
          <w:sz w:val="24"/>
          <w:szCs w:val="24"/>
        </w:rPr>
        <w:t xml:space="preserve"> (</w:t>
      </w:r>
      <w:r w:rsidR="0046347D">
        <w:rPr>
          <w:sz w:val="24"/>
          <w:szCs w:val="24"/>
        </w:rPr>
        <w:t>houseofopportunity</w:t>
      </w:r>
      <w:r w:rsidR="00323DC5">
        <w:rPr>
          <w:sz w:val="24"/>
          <w:szCs w:val="24"/>
        </w:rPr>
        <w:t xml:space="preserve">.org). </w:t>
      </w:r>
      <w:bookmarkEnd w:id="0"/>
      <w:r w:rsidR="00323DC5">
        <w:rPr>
          <w:sz w:val="24"/>
          <w:szCs w:val="24"/>
        </w:rPr>
        <w:t>Rather than</w:t>
      </w:r>
      <w:r w:rsidRPr="009D2121">
        <w:rPr>
          <w:sz w:val="24"/>
          <w:szCs w:val="24"/>
        </w:rPr>
        <w:t xml:space="preserve"> asking children to bring in a fully </w:t>
      </w:r>
      <w:r w:rsidR="00323DC5">
        <w:rPr>
          <w:sz w:val="24"/>
          <w:szCs w:val="24"/>
        </w:rPr>
        <w:t xml:space="preserve">made-up box from home </w:t>
      </w:r>
      <w:r w:rsidRPr="009D2121">
        <w:rPr>
          <w:sz w:val="24"/>
          <w:szCs w:val="24"/>
        </w:rPr>
        <w:t>we are asking for donations of items in bulk (e.g. a dozen toothbrushes). Once the items are collected into the school the pupils will make up presents for children and families in Southe</w:t>
      </w:r>
      <w:r w:rsidR="00BB5A2A">
        <w:rPr>
          <w:sz w:val="24"/>
          <w:szCs w:val="24"/>
        </w:rPr>
        <w:t xml:space="preserve">ast Europe. </w:t>
      </w:r>
      <w:bookmarkStart w:id="1" w:name="_Hlk519766625"/>
      <w:r w:rsidR="00BB5A2A">
        <w:rPr>
          <w:sz w:val="24"/>
          <w:szCs w:val="24"/>
        </w:rPr>
        <w:t xml:space="preserve">This keeps costs lower for you but is still an </w:t>
      </w:r>
      <w:r w:rsidRPr="009D2121">
        <w:rPr>
          <w:sz w:val="24"/>
          <w:szCs w:val="24"/>
        </w:rPr>
        <w:t>effective way of making up lots of Christmas boxes!</w:t>
      </w:r>
      <w:bookmarkEnd w:id="1"/>
    </w:p>
    <w:p w14:paraId="22D64662" w14:textId="77777777" w:rsidR="009D2121" w:rsidRPr="003E47D6" w:rsidRDefault="009D2121" w:rsidP="009D2121">
      <w:pPr>
        <w:spacing w:after="0"/>
        <w:rPr>
          <w:sz w:val="16"/>
          <w:szCs w:val="16"/>
        </w:rPr>
      </w:pPr>
    </w:p>
    <w:p w14:paraId="22D64663" w14:textId="1517D495" w:rsidR="009D2121" w:rsidRDefault="009D2121" w:rsidP="009D2121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Christmas</w:t>
      </w:r>
      <w:r w:rsidR="00863789">
        <w:rPr>
          <w:sz w:val="24"/>
          <w:szCs w:val="24"/>
        </w:rPr>
        <w:t xml:space="preserve"> box appeal this year,</w:t>
      </w:r>
      <w:r w:rsidRPr="009D2121">
        <w:rPr>
          <w:sz w:val="24"/>
          <w:szCs w:val="24"/>
        </w:rPr>
        <w:t xml:space="preserve"> please choose from the list of items below (feel free to donate more than one type of item should you wish!) and send them into schoo</w:t>
      </w:r>
      <w:r w:rsidR="002B16E2">
        <w:rPr>
          <w:sz w:val="24"/>
          <w:szCs w:val="24"/>
        </w:rPr>
        <w:t>l along with an empty shoebox</w:t>
      </w:r>
      <w:r w:rsidRPr="009D2121">
        <w:rPr>
          <w:sz w:val="24"/>
          <w:szCs w:val="24"/>
        </w:rPr>
        <w:t xml:space="preserve">. </w:t>
      </w:r>
    </w:p>
    <w:p w14:paraId="1A270C53" w14:textId="77777777" w:rsidR="00446DEA" w:rsidRPr="00004C8F" w:rsidRDefault="00446DEA" w:rsidP="009D2121">
      <w:pPr>
        <w:spacing w:after="0"/>
        <w:rPr>
          <w:sz w:val="16"/>
          <w:szCs w:val="16"/>
        </w:rPr>
      </w:pPr>
    </w:p>
    <w:p w14:paraId="57B94480" w14:textId="38DE8F5B" w:rsidR="00446DEA" w:rsidRPr="009D2121" w:rsidRDefault="00446DEA" w:rsidP="00446DEA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 to help cover what it will cost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64" w14:textId="77777777" w:rsidR="00DA48D2" w:rsidRPr="003E47D6" w:rsidRDefault="00DA48D2" w:rsidP="009D2121">
      <w:pPr>
        <w:spacing w:after="0"/>
        <w:rPr>
          <w:sz w:val="16"/>
          <w:szCs w:val="16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3320"/>
        <w:gridCol w:w="2729"/>
      </w:tblGrid>
      <w:tr w:rsidR="00446DEA" w14:paraId="22D64668" w14:textId="77777777" w:rsidTr="00004C8F">
        <w:tc>
          <w:tcPr>
            <w:tcW w:w="2848" w:type="dxa"/>
          </w:tcPr>
          <w:p w14:paraId="22D64666" w14:textId="4C68B71C" w:rsidR="00446DEA" w:rsidRPr="00DA48D2" w:rsidRDefault="00863789" w:rsidP="00446DE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22D646D7" wp14:editId="062A4337">
                  <wp:simplePos x="0" y="0"/>
                  <wp:positionH relativeFrom="column">
                    <wp:posOffset>3293110</wp:posOffset>
                  </wp:positionH>
                  <wp:positionV relativeFrom="paragraph">
                    <wp:posOffset>354330</wp:posOffset>
                  </wp:positionV>
                  <wp:extent cx="1303655" cy="2100580"/>
                  <wp:effectExtent l="0" t="0" r="0" b="0"/>
                  <wp:wrapNone/>
                  <wp:docPr id="1" name="Picture 1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6DEA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320" w:type="dxa"/>
          </w:tcPr>
          <w:p w14:paraId="39EA673D" w14:textId="026642BB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Soap</w:t>
            </w:r>
          </w:p>
        </w:tc>
        <w:tc>
          <w:tcPr>
            <w:tcW w:w="2729" w:type="dxa"/>
          </w:tcPr>
          <w:p w14:paraId="22D64667" w14:textId="0AE62371" w:rsidR="00446DEA" w:rsidRPr="00446DEA" w:rsidRDefault="00446DEA" w:rsidP="00446DEA">
            <w:pPr>
              <w:ind w:left="66"/>
              <w:rPr>
                <w:color w:val="00B050"/>
                <w:sz w:val="24"/>
                <w:szCs w:val="24"/>
              </w:rPr>
            </w:pPr>
          </w:p>
        </w:tc>
      </w:tr>
      <w:tr w:rsidR="00446DEA" w14:paraId="22D6466B" w14:textId="77777777" w:rsidTr="00004C8F">
        <w:tc>
          <w:tcPr>
            <w:tcW w:w="2848" w:type="dxa"/>
          </w:tcPr>
          <w:p w14:paraId="22D64669" w14:textId="77777777" w:rsidR="00446DEA" w:rsidRPr="00DA48D2" w:rsidRDefault="00446DEA" w:rsidP="00446DE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320" w:type="dxa"/>
          </w:tcPr>
          <w:p w14:paraId="0C06AB71" w14:textId="4FEB719B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 w:rsidRPr="00446DEA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  <w:tc>
          <w:tcPr>
            <w:tcW w:w="2729" w:type="dxa"/>
          </w:tcPr>
          <w:p w14:paraId="22D6466A" w14:textId="0784C859" w:rsidR="00446DEA" w:rsidRPr="00446DEA" w:rsidRDefault="00446DEA" w:rsidP="00446DEA">
            <w:pPr>
              <w:ind w:left="66"/>
              <w:rPr>
                <w:color w:val="00B050"/>
                <w:sz w:val="24"/>
                <w:szCs w:val="24"/>
              </w:rPr>
            </w:pPr>
          </w:p>
        </w:tc>
      </w:tr>
      <w:tr w:rsidR="00446DEA" w14:paraId="22D6466E" w14:textId="77777777" w:rsidTr="00004C8F">
        <w:tc>
          <w:tcPr>
            <w:tcW w:w="2848" w:type="dxa"/>
          </w:tcPr>
          <w:p w14:paraId="22D6466C" w14:textId="77777777" w:rsidR="00446DEA" w:rsidRPr="00DA48D2" w:rsidRDefault="00446DEA" w:rsidP="00446DE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Hats/gloves</w:t>
            </w:r>
          </w:p>
        </w:tc>
        <w:tc>
          <w:tcPr>
            <w:tcW w:w="3320" w:type="dxa"/>
          </w:tcPr>
          <w:p w14:paraId="794E3F53" w14:textId="3F750472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Jigsaws</w:t>
            </w:r>
          </w:p>
        </w:tc>
        <w:tc>
          <w:tcPr>
            <w:tcW w:w="2729" w:type="dxa"/>
          </w:tcPr>
          <w:p w14:paraId="22D6466D" w14:textId="767ECB68" w:rsidR="00446DEA" w:rsidRPr="00446DEA" w:rsidRDefault="00446DEA" w:rsidP="00446DEA">
            <w:pPr>
              <w:ind w:left="99"/>
              <w:rPr>
                <w:color w:val="00B050"/>
                <w:sz w:val="24"/>
                <w:szCs w:val="24"/>
              </w:rPr>
            </w:pPr>
          </w:p>
        </w:tc>
      </w:tr>
      <w:tr w:rsidR="00446DEA" w14:paraId="22D64671" w14:textId="77777777" w:rsidTr="00004C8F">
        <w:tc>
          <w:tcPr>
            <w:tcW w:w="2848" w:type="dxa"/>
          </w:tcPr>
          <w:p w14:paraId="22D6466F" w14:textId="77777777" w:rsidR="00446DEA" w:rsidRPr="00DA48D2" w:rsidRDefault="00446DEA" w:rsidP="00446DE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Balls (tennis, bouncy)</w:t>
            </w:r>
          </w:p>
        </w:tc>
        <w:tc>
          <w:tcPr>
            <w:tcW w:w="3320" w:type="dxa"/>
          </w:tcPr>
          <w:p w14:paraId="6444FD16" w14:textId="010CF89E" w:rsidR="00446DEA" w:rsidRPr="00446DEA" w:rsidRDefault="00446DEA" w:rsidP="00446DEA">
            <w:pPr>
              <w:pStyle w:val="ListParagraph"/>
              <w:numPr>
                <w:ilvl w:val="0"/>
                <w:numId w:val="4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Facecloths</w:t>
            </w:r>
          </w:p>
        </w:tc>
        <w:tc>
          <w:tcPr>
            <w:tcW w:w="2729" w:type="dxa"/>
          </w:tcPr>
          <w:p w14:paraId="22D64670" w14:textId="6636ED93" w:rsidR="00446DEA" w:rsidRPr="00446DEA" w:rsidRDefault="00446DEA" w:rsidP="00446DEA">
            <w:pPr>
              <w:ind w:left="37"/>
              <w:rPr>
                <w:color w:val="00B050"/>
                <w:sz w:val="24"/>
                <w:szCs w:val="24"/>
              </w:rPr>
            </w:pPr>
          </w:p>
        </w:tc>
      </w:tr>
    </w:tbl>
    <w:p w14:paraId="22D64672" w14:textId="0FE00468" w:rsidR="003E47D6" w:rsidRDefault="003E47D6" w:rsidP="00DA48D2">
      <w:pPr>
        <w:spacing w:after="0"/>
        <w:rPr>
          <w:b/>
          <w:color w:val="00B050"/>
          <w:sz w:val="24"/>
          <w:szCs w:val="24"/>
        </w:rPr>
      </w:pPr>
    </w:p>
    <w:p w14:paraId="22D64676" w14:textId="7E8096FF" w:rsidR="009D2121" w:rsidRPr="009D2121" w:rsidRDefault="009D2121" w:rsidP="009D2121">
      <w:pPr>
        <w:spacing w:after="0"/>
        <w:rPr>
          <w:sz w:val="24"/>
          <w:szCs w:val="24"/>
        </w:rPr>
      </w:pPr>
      <w:bookmarkStart w:id="2" w:name="_Hlk519757509"/>
      <w:r w:rsidRPr="009D2121">
        <w:rPr>
          <w:sz w:val="24"/>
          <w:szCs w:val="24"/>
        </w:rPr>
        <w:t xml:space="preserve">Deadline to get items </w:t>
      </w:r>
      <w:r w:rsidR="00446DEA"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 w:rsidR="003E47D6">
        <w:rPr>
          <w:sz w:val="24"/>
          <w:szCs w:val="24"/>
        </w:rPr>
        <w:t>to the school</w:t>
      </w:r>
      <w:r w:rsidRPr="009D2121">
        <w:rPr>
          <w:sz w:val="24"/>
          <w:szCs w:val="24"/>
        </w:rPr>
        <w:t>:</w:t>
      </w:r>
    </w:p>
    <w:bookmarkEnd w:id="2"/>
    <w:p w14:paraId="5DC61DA8" w14:textId="6E656CF6" w:rsidR="0042728A" w:rsidRPr="009D2121" w:rsidRDefault="0042728A" w:rsidP="0042728A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</w:t>
      </w:r>
      <w:r w:rsidRPr="0042728A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November</w:t>
      </w:r>
    </w:p>
    <w:p w14:paraId="216C2D96" w14:textId="146CA048" w:rsidR="00863789" w:rsidRDefault="00863789" w:rsidP="009D2121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2ACB78B" w14:textId="77777777" w:rsidR="00863789" w:rsidRPr="00863789" w:rsidRDefault="00863789" w:rsidP="009D2121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3" w:name="_Hlk519758537"/>
    </w:p>
    <w:p w14:paraId="22D64678" w14:textId="0652D878" w:rsidR="009D2121" w:rsidRPr="00863789" w:rsidRDefault="00863789" w:rsidP="009D2121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3984F513" w14:textId="77777777" w:rsidR="00863789" w:rsidRDefault="00863789" w:rsidP="009D2121">
      <w:pPr>
        <w:spacing w:after="0"/>
        <w:rPr>
          <w:sz w:val="12"/>
          <w:szCs w:val="12"/>
        </w:rPr>
      </w:pPr>
    </w:p>
    <w:p w14:paraId="22D6467A" w14:textId="48C7DC98" w:rsidR="009D2121" w:rsidRDefault="00644046" w:rsidP="00F662DB">
      <w:pPr>
        <w:spacing w:after="0"/>
      </w:pPr>
      <w:r>
        <w:rPr>
          <w:sz w:val="12"/>
          <w:szCs w:val="12"/>
        </w:rPr>
        <w:t>“House of Opportunity”</w:t>
      </w:r>
      <w:r w:rsidR="00E46A13">
        <w:rPr>
          <w:sz w:val="12"/>
          <w:szCs w:val="12"/>
        </w:rPr>
        <w:t xml:space="preserve"> is the operating name of </w:t>
      </w:r>
      <w:r w:rsidR="009D2121" w:rsidRPr="002B16E2">
        <w:rPr>
          <w:sz w:val="12"/>
          <w:szCs w:val="12"/>
        </w:rPr>
        <w:t>FSCI (UK)</w:t>
      </w:r>
      <w:r w:rsidR="00E46A13">
        <w:rPr>
          <w:sz w:val="12"/>
          <w:szCs w:val="12"/>
        </w:rPr>
        <w:t xml:space="preserve">, </w:t>
      </w:r>
      <w:r w:rsidR="00F662DB">
        <w:rPr>
          <w:sz w:val="12"/>
          <w:szCs w:val="12"/>
        </w:rPr>
        <w:br/>
      </w:r>
      <w:r w:rsidR="00E46A13">
        <w:rPr>
          <w:sz w:val="12"/>
          <w:szCs w:val="12"/>
        </w:rPr>
        <w:t xml:space="preserve">which is </w:t>
      </w:r>
      <w:r w:rsidR="009D2121" w:rsidRPr="002B16E2">
        <w:rPr>
          <w:sz w:val="12"/>
          <w:szCs w:val="12"/>
        </w:rPr>
        <w:t xml:space="preserve"> Reg</w:t>
      </w:r>
      <w:r w:rsidR="00F662DB">
        <w:rPr>
          <w:sz w:val="12"/>
          <w:szCs w:val="12"/>
        </w:rPr>
        <w:t>istered</w:t>
      </w:r>
      <w:r w:rsidR="009D2121" w:rsidRPr="002B16E2">
        <w:rPr>
          <w:sz w:val="12"/>
          <w:szCs w:val="12"/>
        </w:rPr>
        <w:t xml:space="preserve"> Charity in England &amp; Wales </w:t>
      </w:r>
      <w:r w:rsidR="00F662DB">
        <w:rPr>
          <w:sz w:val="12"/>
          <w:szCs w:val="12"/>
        </w:rPr>
        <w:t>(</w:t>
      </w:r>
      <w:r w:rsidR="009D2121" w:rsidRPr="002B16E2">
        <w:rPr>
          <w:sz w:val="12"/>
          <w:szCs w:val="12"/>
        </w:rPr>
        <w:t>1170914</w:t>
      </w:r>
      <w:r w:rsidR="00F662DB">
        <w:rPr>
          <w:sz w:val="12"/>
          <w:szCs w:val="12"/>
        </w:rPr>
        <w:t>)</w:t>
      </w:r>
      <w:bookmarkEnd w:id="3"/>
    </w:p>
    <w:p w14:paraId="75276014" w14:textId="77777777" w:rsidR="00004C8F" w:rsidRDefault="00004C8F"/>
    <w:p w14:paraId="22D6467B" w14:textId="362BD2FE" w:rsidR="009D2121" w:rsidRDefault="009D2121"/>
    <w:p w14:paraId="22D6467C" w14:textId="77777777" w:rsidR="00323DC5" w:rsidRDefault="00323DC5"/>
    <w:p w14:paraId="22D6467E" w14:textId="77777777" w:rsidR="003E47D6" w:rsidRPr="009D2121" w:rsidRDefault="003E47D6" w:rsidP="003E47D6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>Dear Parent or Guardian,</w:t>
      </w:r>
    </w:p>
    <w:p w14:paraId="22D6467F" w14:textId="4E449A19" w:rsidR="003E47D6" w:rsidRPr="009D2121" w:rsidRDefault="003E47D6" w:rsidP="003E47D6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This autumn the school has chosen to support the Christmas box appeal run by </w:t>
      </w:r>
      <w:r w:rsidR="00565286" w:rsidRPr="00565286">
        <w:rPr>
          <w:sz w:val="24"/>
          <w:szCs w:val="24"/>
        </w:rPr>
        <w:t>House of Opportunity (houseofopportunity.org)</w:t>
      </w:r>
      <w:r w:rsidR="00323DC5">
        <w:rPr>
          <w:sz w:val="24"/>
          <w:szCs w:val="24"/>
        </w:rPr>
        <w:t>. Rather than</w:t>
      </w:r>
      <w:r w:rsidRPr="009D2121">
        <w:rPr>
          <w:sz w:val="24"/>
          <w:szCs w:val="24"/>
        </w:rPr>
        <w:t xml:space="preserve"> asking children to bring in a f</w:t>
      </w:r>
      <w:r w:rsidR="00323DC5">
        <w:rPr>
          <w:sz w:val="24"/>
          <w:szCs w:val="24"/>
        </w:rPr>
        <w:t xml:space="preserve">ully made-up box from home </w:t>
      </w:r>
      <w:r w:rsidRPr="009D2121">
        <w:rPr>
          <w:sz w:val="24"/>
          <w:szCs w:val="24"/>
        </w:rPr>
        <w:t>we are asking for donations of items in bulk (e.g. a dozen toothbrushes). Once the items are collected into the school the pupils will make up presents for children and families in Southe</w:t>
      </w:r>
      <w:r w:rsidR="00863789">
        <w:rPr>
          <w:sz w:val="24"/>
          <w:szCs w:val="24"/>
        </w:rPr>
        <w:t xml:space="preserve">ast Europe. </w:t>
      </w:r>
      <w:r w:rsidR="00BB5A2A">
        <w:rPr>
          <w:sz w:val="24"/>
          <w:szCs w:val="24"/>
        </w:rPr>
        <w:t xml:space="preserve">This keeps costs lower for you but is still an </w:t>
      </w:r>
      <w:r w:rsidR="00BB5A2A" w:rsidRPr="009D2121">
        <w:rPr>
          <w:sz w:val="24"/>
          <w:szCs w:val="24"/>
        </w:rPr>
        <w:t>effective way of making up lots of Christmas boxes!</w:t>
      </w:r>
    </w:p>
    <w:p w14:paraId="22D64680" w14:textId="77777777" w:rsidR="003E47D6" w:rsidRPr="003E47D6" w:rsidRDefault="003E47D6" w:rsidP="003E47D6">
      <w:pPr>
        <w:spacing w:after="0"/>
        <w:rPr>
          <w:sz w:val="16"/>
          <w:szCs w:val="16"/>
        </w:rPr>
      </w:pPr>
    </w:p>
    <w:p w14:paraId="22D64681" w14:textId="178587E9" w:rsidR="003E47D6" w:rsidRDefault="003E47D6" w:rsidP="003E47D6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</w:t>
      </w:r>
      <w:r w:rsidR="00863789">
        <w:rPr>
          <w:sz w:val="24"/>
          <w:szCs w:val="24"/>
        </w:rPr>
        <w:t>istmas box appeal this year,</w:t>
      </w:r>
      <w:r w:rsidRPr="009D2121">
        <w:rPr>
          <w:sz w:val="24"/>
          <w:szCs w:val="24"/>
        </w:rPr>
        <w:t xml:space="preserve"> please choose from the list of items below (feel free to donate more than one type of item should you wish!) and send them into schoo</w:t>
      </w:r>
      <w:r>
        <w:rPr>
          <w:sz w:val="24"/>
          <w:szCs w:val="24"/>
        </w:rPr>
        <w:t>l along with an empty shoebox</w:t>
      </w:r>
      <w:r w:rsidRPr="009D2121">
        <w:rPr>
          <w:sz w:val="24"/>
          <w:szCs w:val="24"/>
        </w:rPr>
        <w:t xml:space="preserve">. </w:t>
      </w:r>
    </w:p>
    <w:p w14:paraId="5BB47A8F" w14:textId="77777777" w:rsidR="00863789" w:rsidRPr="00004C8F" w:rsidRDefault="00863789" w:rsidP="00863789">
      <w:pPr>
        <w:spacing w:after="0"/>
        <w:rPr>
          <w:b/>
          <w:sz w:val="16"/>
          <w:szCs w:val="16"/>
        </w:rPr>
      </w:pPr>
    </w:p>
    <w:p w14:paraId="353A6704" w14:textId="5B35C5A4" w:rsidR="00863789" w:rsidRPr="009D2121" w:rsidRDefault="00863789" w:rsidP="00863789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</w:t>
      </w:r>
      <w:r w:rsidR="00565286">
        <w:rPr>
          <w:b/>
          <w:sz w:val="24"/>
          <w:szCs w:val="24"/>
        </w:rPr>
        <w:t>4</w:t>
      </w:r>
      <w:r w:rsidRPr="00446DEA">
        <w:rPr>
          <w:b/>
          <w:sz w:val="24"/>
          <w:szCs w:val="24"/>
        </w:rPr>
        <w:t xml:space="preserve"> to help cover what it will cost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82" w14:textId="77777777" w:rsidR="003E47D6" w:rsidRPr="003E47D6" w:rsidRDefault="003E47D6" w:rsidP="003E47D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</w:tblGrid>
      <w:tr w:rsidR="003E47D6" w14:paraId="22D64686" w14:textId="77777777" w:rsidTr="003E47D6">
        <w:tc>
          <w:tcPr>
            <w:tcW w:w="2660" w:type="dxa"/>
          </w:tcPr>
          <w:p w14:paraId="22D64684" w14:textId="5CEB0BE9" w:rsidR="003E47D6" w:rsidRPr="00DA48D2" w:rsidRDefault="00863789" w:rsidP="0027389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22D646D9" wp14:editId="667BA6EA">
                  <wp:simplePos x="0" y="0"/>
                  <wp:positionH relativeFrom="column">
                    <wp:posOffset>3397885</wp:posOffset>
                  </wp:positionH>
                  <wp:positionV relativeFrom="paragraph">
                    <wp:posOffset>339090</wp:posOffset>
                  </wp:positionV>
                  <wp:extent cx="1303655" cy="2100580"/>
                  <wp:effectExtent l="0" t="0" r="0" b="0"/>
                  <wp:wrapNone/>
                  <wp:docPr id="7" name="Picture 7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4" w:name="_Hlk519757871"/>
            <w:r w:rsidR="003E47D6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402" w:type="dxa"/>
          </w:tcPr>
          <w:p w14:paraId="22D64685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Scarves</w:t>
            </w:r>
          </w:p>
        </w:tc>
      </w:tr>
      <w:tr w:rsidR="003E47D6" w14:paraId="22D64689" w14:textId="77777777" w:rsidTr="003E47D6">
        <w:tc>
          <w:tcPr>
            <w:tcW w:w="2660" w:type="dxa"/>
          </w:tcPr>
          <w:p w14:paraId="22D64687" w14:textId="77777777" w:rsidR="003E47D6" w:rsidRPr="00DA48D2" w:rsidRDefault="003E47D6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402" w:type="dxa"/>
          </w:tcPr>
          <w:p w14:paraId="22D64688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</w:tr>
      <w:tr w:rsidR="003E47D6" w14:paraId="22D6468C" w14:textId="77777777" w:rsidTr="003E47D6">
        <w:tc>
          <w:tcPr>
            <w:tcW w:w="2660" w:type="dxa"/>
          </w:tcPr>
          <w:p w14:paraId="22D6468A" w14:textId="77777777" w:rsidR="003E47D6" w:rsidRPr="00DA48D2" w:rsidRDefault="003E47D6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</w:t>
            </w:r>
          </w:p>
        </w:tc>
        <w:tc>
          <w:tcPr>
            <w:tcW w:w="3402" w:type="dxa"/>
          </w:tcPr>
          <w:p w14:paraId="22D6468B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Colouring/sticker books</w:t>
            </w:r>
          </w:p>
        </w:tc>
      </w:tr>
      <w:tr w:rsidR="003E47D6" w14:paraId="22D6468F" w14:textId="77777777" w:rsidTr="003E47D6">
        <w:tc>
          <w:tcPr>
            <w:tcW w:w="2660" w:type="dxa"/>
          </w:tcPr>
          <w:p w14:paraId="22D6468D" w14:textId="77777777" w:rsidR="003E47D6" w:rsidRPr="00DA48D2" w:rsidRDefault="003E47D6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Gloves</w:t>
            </w:r>
          </w:p>
        </w:tc>
        <w:tc>
          <w:tcPr>
            <w:tcW w:w="3402" w:type="dxa"/>
          </w:tcPr>
          <w:p w14:paraId="22D6468E" w14:textId="77777777" w:rsidR="003E47D6" w:rsidRPr="00A94783" w:rsidRDefault="003E47D6" w:rsidP="00A94783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 xml:space="preserve">Combs/hair accessories </w:t>
            </w:r>
          </w:p>
        </w:tc>
      </w:tr>
      <w:bookmarkEnd w:id="4"/>
    </w:tbl>
    <w:p w14:paraId="22D64690" w14:textId="2BD738B1" w:rsidR="003E47D6" w:rsidRDefault="003E47D6" w:rsidP="003E47D6">
      <w:pPr>
        <w:spacing w:after="0"/>
        <w:rPr>
          <w:b/>
          <w:color w:val="00B050"/>
          <w:sz w:val="24"/>
          <w:szCs w:val="24"/>
        </w:rPr>
      </w:pPr>
    </w:p>
    <w:p w14:paraId="1B22C7F1" w14:textId="77777777" w:rsidR="00446DEA" w:rsidRPr="009D2121" w:rsidRDefault="00446DEA" w:rsidP="00446DEA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Deadline to get items </w:t>
      </w:r>
      <w:r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>
        <w:rPr>
          <w:sz w:val="24"/>
          <w:szCs w:val="24"/>
        </w:rPr>
        <w:t>to the school</w:t>
      </w:r>
      <w:r w:rsidRPr="009D2121">
        <w:rPr>
          <w:sz w:val="24"/>
          <w:szCs w:val="24"/>
        </w:rPr>
        <w:t>:</w:t>
      </w:r>
    </w:p>
    <w:p w14:paraId="441209AF" w14:textId="0C62A479" w:rsidR="0042728A" w:rsidRPr="009D2121" w:rsidRDefault="0042728A" w:rsidP="0042728A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</w:t>
      </w:r>
      <w:r w:rsidRPr="0042728A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November</w:t>
      </w:r>
    </w:p>
    <w:p w14:paraId="22D64695" w14:textId="030A6335" w:rsidR="003E47D6" w:rsidRPr="009D2121" w:rsidRDefault="003E47D6" w:rsidP="003E47D6">
      <w:pPr>
        <w:spacing w:after="0"/>
        <w:rPr>
          <w:b/>
          <w:color w:val="C00000"/>
          <w:sz w:val="24"/>
          <w:szCs w:val="24"/>
        </w:rPr>
      </w:pPr>
    </w:p>
    <w:p w14:paraId="5561C7F8" w14:textId="77777777" w:rsidR="00863789" w:rsidRPr="00863789" w:rsidRDefault="00863789" w:rsidP="00863789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34147BE" w14:textId="77777777" w:rsidR="00863789" w:rsidRPr="00863789" w:rsidRDefault="00863789" w:rsidP="00863789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1A6A04EA" w14:textId="77777777" w:rsidR="00863789" w:rsidRDefault="00863789" w:rsidP="00863789">
      <w:pPr>
        <w:spacing w:after="0"/>
        <w:rPr>
          <w:sz w:val="12"/>
          <w:szCs w:val="12"/>
        </w:rPr>
      </w:pPr>
    </w:p>
    <w:p w14:paraId="36668424" w14:textId="607B5DF9" w:rsidR="00F662DB" w:rsidRPr="002B16E2" w:rsidRDefault="00F662DB" w:rsidP="00F662DB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“House of Opportunity” is the operating name of </w:t>
      </w:r>
      <w:r w:rsidRPr="002B16E2">
        <w:rPr>
          <w:sz w:val="12"/>
          <w:szCs w:val="12"/>
        </w:rPr>
        <w:t>FSCI (UK)</w:t>
      </w:r>
      <w:r>
        <w:rPr>
          <w:sz w:val="12"/>
          <w:szCs w:val="12"/>
        </w:rPr>
        <w:t xml:space="preserve">, </w:t>
      </w:r>
      <w:r>
        <w:rPr>
          <w:sz w:val="12"/>
          <w:szCs w:val="12"/>
        </w:rPr>
        <w:br/>
        <w:t xml:space="preserve">which is </w:t>
      </w:r>
      <w:r w:rsidRPr="002B16E2">
        <w:rPr>
          <w:sz w:val="12"/>
          <w:szCs w:val="12"/>
        </w:rPr>
        <w:t xml:space="preserve"> Reg</w:t>
      </w:r>
      <w:r>
        <w:rPr>
          <w:sz w:val="12"/>
          <w:szCs w:val="12"/>
        </w:rPr>
        <w:t>istered</w:t>
      </w:r>
      <w:r w:rsidRPr="002B16E2">
        <w:rPr>
          <w:sz w:val="12"/>
          <w:szCs w:val="12"/>
        </w:rPr>
        <w:t xml:space="preserve"> Charity in England &amp; Wales </w:t>
      </w:r>
      <w:r>
        <w:rPr>
          <w:sz w:val="12"/>
          <w:szCs w:val="12"/>
        </w:rPr>
        <w:t>(</w:t>
      </w:r>
      <w:r w:rsidRPr="002B16E2">
        <w:rPr>
          <w:sz w:val="12"/>
          <w:szCs w:val="12"/>
        </w:rPr>
        <w:t>1170914</w:t>
      </w:r>
      <w:r>
        <w:rPr>
          <w:sz w:val="12"/>
          <w:szCs w:val="12"/>
        </w:rPr>
        <w:t>)</w:t>
      </w:r>
    </w:p>
    <w:p w14:paraId="704B4405" w14:textId="15E83984" w:rsidR="00863789" w:rsidRPr="002B16E2" w:rsidRDefault="00863789" w:rsidP="00863789">
      <w:pPr>
        <w:spacing w:after="0"/>
        <w:rPr>
          <w:sz w:val="12"/>
          <w:szCs w:val="12"/>
        </w:rPr>
      </w:pPr>
    </w:p>
    <w:p w14:paraId="22D64696" w14:textId="77777777" w:rsidR="003E47D6" w:rsidRDefault="003E47D6" w:rsidP="003E47D6">
      <w:pPr>
        <w:spacing w:after="0"/>
        <w:rPr>
          <w:color w:val="C00000"/>
          <w:sz w:val="10"/>
          <w:szCs w:val="10"/>
        </w:rPr>
      </w:pPr>
    </w:p>
    <w:p w14:paraId="22D64699" w14:textId="77777777" w:rsidR="009D2121" w:rsidRDefault="009D2121"/>
    <w:p w14:paraId="22D6469A" w14:textId="77777777" w:rsidR="009D2121" w:rsidRDefault="009D2121"/>
    <w:p w14:paraId="7D9E4FD2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1CF049DB" w14:textId="77777777" w:rsidR="00D00C52" w:rsidRDefault="00D00C52" w:rsidP="00A94783">
      <w:pPr>
        <w:spacing w:after="0"/>
        <w:rPr>
          <w:b/>
          <w:sz w:val="24"/>
          <w:szCs w:val="24"/>
        </w:rPr>
      </w:pPr>
    </w:p>
    <w:p w14:paraId="22D6469C" w14:textId="5DD70539" w:rsidR="00A94783" w:rsidRPr="009D2121" w:rsidRDefault="00A94783" w:rsidP="00A94783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>Dear Parent or Guardian,</w:t>
      </w:r>
    </w:p>
    <w:p w14:paraId="22D6469D" w14:textId="40993C8D" w:rsidR="00A94783" w:rsidRPr="009D2121" w:rsidRDefault="00A94783" w:rsidP="00A94783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This autumn the school has chosen to support the Christmas box appeal run by </w:t>
      </w:r>
      <w:r w:rsidR="00614305">
        <w:rPr>
          <w:sz w:val="24"/>
          <w:szCs w:val="24"/>
        </w:rPr>
        <w:t>House of Opportunity (houseofopportunity.org)</w:t>
      </w:r>
      <w:r w:rsidR="00323DC5">
        <w:rPr>
          <w:sz w:val="24"/>
          <w:szCs w:val="24"/>
        </w:rPr>
        <w:t>.</w:t>
      </w:r>
      <w:r w:rsidR="00FD7575">
        <w:rPr>
          <w:sz w:val="24"/>
          <w:szCs w:val="24"/>
        </w:rPr>
        <w:t xml:space="preserve"> </w:t>
      </w:r>
      <w:r w:rsidR="00323DC5">
        <w:rPr>
          <w:sz w:val="24"/>
          <w:szCs w:val="24"/>
        </w:rPr>
        <w:t>Rather than</w:t>
      </w:r>
      <w:r w:rsidRPr="009D2121">
        <w:rPr>
          <w:sz w:val="24"/>
          <w:szCs w:val="24"/>
        </w:rPr>
        <w:t xml:space="preserve"> asking children to bring in a fully </w:t>
      </w:r>
      <w:r w:rsidR="00323DC5">
        <w:rPr>
          <w:sz w:val="24"/>
          <w:szCs w:val="24"/>
        </w:rPr>
        <w:t xml:space="preserve">made-up box from home </w:t>
      </w:r>
      <w:r w:rsidRPr="009D2121">
        <w:rPr>
          <w:sz w:val="24"/>
          <w:szCs w:val="24"/>
        </w:rPr>
        <w:t>we are asking for donations of items in bulk (e.g. a dozen toothbrushes). Once the items are collected into the school the pupils will make up presents for children and families in Southeast Europe</w:t>
      </w:r>
      <w:r w:rsidR="00863789">
        <w:rPr>
          <w:sz w:val="24"/>
          <w:szCs w:val="24"/>
        </w:rPr>
        <w:t xml:space="preserve">. </w:t>
      </w:r>
      <w:r w:rsidR="00BB5A2A">
        <w:rPr>
          <w:sz w:val="24"/>
          <w:szCs w:val="24"/>
        </w:rPr>
        <w:t xml:space="preserve">This keeps costs lower for you but is still an </w:t>
      </w:r>
      <w:r w:rsidR="00BB5A2A" w:rsidRPr="009D2121">
        <w:rPr>
          <w:sz w:val="24"/>
          <w:szCs w:val="24"/>
        </w:rPr>
        <w:t>effective way of making up lots of Christmas boxes!</w:t>
      </w:r>
    </w:p>
    <w:p w14:paraId="22D6469E" w14:textId="77777777" w:rsidR="00A94783" w:rsidRPr="003E47D6" w:rsidRDefault="00A94783" w:rsidP="00A94783">
      <w:pPr>
        <w:spacing w:after="0"/>
        <w:rPr>
          <w:sz w:val="16"/>
          <w:szCs w:val="16"/>
        </w:rPr>
      </w:pPr>
    </w:p>
    <w:p w14:paraId="22D6469F" w14:textId="75C59343" w:rsidR="00A94783" w:rsidRDefault="00A94783" w:rsidP="00A94783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Christmas box appeal this year</w:t>
      </w:r>
      <w:r w:rsidR="00863789">
        <w:rPr>
          <w:sz w:val="24"/>
          <w:szCs w:val="24"/>
        </w:rPr>
        <w:t xml:space="preserve">, </w:t>
      </w:r>
      <w:r w:rsidRPr="009D2121">
        <w:rPr>
          <w:sz w:val="24"/>
          <w:szCs w:val="24"/>
        </w:rPr>
        <w:t>please choose from the list of items below (feel free to donate more than one type of item should you wish!) and send them into schoo</w:t>
      </w:r>
      <w:r>
        <w:rPr>
          <w:sz w:val="24"/>
          <w:szCs w:val="24"/>
        </w:rPr>
        <w:t>l along with an empty shoebox</w:t>
      </w:r>
      <w:r w:rsidRPr="009D2121">
        <w:rPr>
          <w:sz w:val="24"/>
          <w:szCs w:val="24"/>
        </w:rPr>
        <w:t xml:space="preserve">. </w:t>
      </w:r>
    </w:p>
    <w:p w14:paraId="511A9C8A" w14:textId="77777777" w:rsidR="00863789" w:rsidRPr="00004C8F" w:rsidRDefault="00863789" w:rsidP="00863789">
      <w:pPr>
        <w:spacing w:after="0"/>
        <w:rPr>
          <w:b/>
          <w:sz w:val="16"/>
          <w:szCs w:val="16"/>
        </w:rPr>
      </w:pPr>
    </w:p>
    <w:p w14:paraId="006E3216" w14:textId="5F1AD62A" w:rsidR="00863789" w:rsidRPr="009D2121" w:rsidRDefault="00863789" w:rsidP="00863789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</w:t>
      </w:r>
      <w:r w:rsidR="00FD7575">
        <w:rPr>
          <w:b/>
          <w:sz w:val="24"/>
          <w:szCs w:val="24"/>
        </w:rPr>
        <w:t>4</w:t>
      </w:r>
      <w:r w:rsidRPr="00446DEA">
        <w:rPr>
          <w:b/>
          <w:sz w:val="24"/>
          <w:szCs w:val="24"/>
        </w:rPr>
        <w:t xml:space="preserve"> to help cover what it will cost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A0" w14:textId="77777777" w:rsidR="00A94783" w:rsidRPr="003E47D6" w:rsidRDefault="00A94783" w:rsidP="00A9478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A94783" w14:paraId="22D646A4" w14:textId="77777777" w:rsidTr="00A94783">
        <w:tc>
          <w:tcPr>
            <w:tcW w:w="2943" w:type="dxa"/>
          </w:tcPr>
          <w:p w14:paraId="22D646A2" w14:textId="57765023" w:rsidR="00A94783" w:rsidRPr="00DA48D2" w:rsidRDefault="00863789" w:rsidP="0027389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2D646DB" wp14:editId="0DA16293">
                  <wp:simplePos x="0" y="0"/>
                  <wp:positionH relativeFrom="column">
                    <wp:posOffset>3331210</wp:posOffset>
                  </wp:positionH>
                  <wp:positionV relativeFrom="paragraph">
                    <wp:posOffset>377190</wp:posOffset>
                  </wp:positionV>
                  <wp:extent cx="1303655" cy="2100580"/>
                  <wp:effectExtent l="0" t="0" r="0" b="0"/>
                  <wp:wrapNone/>
                  <wp:docPr id="8" name="Picture 8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783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119" w:type="dxa"/>
          </w:tcPr>
          <w:p w14:paraId="22D646A3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Pens/pencils/cases</w:t>
            </w:r>
          </w:p>
        </w:tc>
      </w:tr>
      <w:tr w:rsidR="00A94783" w14:paraId="22D646A7" w14:textId="77777777" w:rsidTr="00A94783">
        <w:tc>
          <w:tcPr>
            <w:tcW w:w="2943" w:type="dxa"/>
          </w:tcPr>
          <w:p w14:paraId="22D646A5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119" w:type="dxa"/>
          </w:tcPr>
          <w:p w14:paraId="22D646A6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</w:tr>
      <w:tr w:rsidR="00A94783" w14:paraId="22D646AA" w14:textId="77777777" w:rsidTr="00A94783">
        <w:tc>
          <w:tcPr>
            <w:tcW w:w="2943" w:type="dxa"/>
          </w:tcPr>
          <w:p w14:paraId="22D646A8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Hats/gloves</w:t>
            </w:r>
          </w:p>
        </w:tc>
        <w:tc>
          <w:tcPr>
            <w:tcW w:w="3119" w:type="dxa"/>
          </w:tcPr>
          <w:p w14:paraId="22D646A9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59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Soap/facecloths</w:t>
            </w:r>
          </w:p>
        </w:tc>
      </w:tr>
      <w:tr w:rsidR="00A94783" w14:paraId="22D646AD" w14:textId="77777777" w:rsidTr="00A94783">
        <w:tc>
          <w:tcPr>
            <w:tcW w:w="2943" w:type="dxa"/>
          </w:tcPr>
          <w:p w14:paraId="22D646AB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Balls (tennis, bouncy)</w:t>
            </w:r>
          </w:p>
        </w:tc>
        <w:tc>
          <w:tcPr>
            <w:tcW w:w="3119" w:type="dxa"/>
          </w:tcPr>
          <w:p w14:paraId="22D646AC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Combs/hair accessories</w:t>
            </w:r>
          </w:p>
        </w:tc>
      </w:tr>
    </w:tbl>
    <w:p w14:paraId="22D646AE" w14:textId="0C70A47C" w:rsidR="00A94783" w:rsidRDefault="00A94783" w:rsidP="00A94783">
      <w:pPr>
        <w:spacing w:after="0"/>
        <w:rPr>
          <w:b/>
          <w:color w:val="00B050"/>
          <w:sz w:val="24"/>
          <w:szCs w:val="24"/>
        </w:rPr>
      </w:pPr>
    </w:p>
    <w:p w14:paraId="7150F3D2" w14:textId="77777777" w:rsidR="00446DEA" w:rsidRPr="009D2121" w:rsidRDefault="00446DEA" w:rsidP="00446DEA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Deadline to get items </w:t>
      </w:r>
      <w:r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>
        <w:rPr>
          <w:sz w:val="24"/>
          <w:szCs w:val="24"/>
        </w:rPr>
        <w:t>to the school</w:t>
      </w:r>
      <w:r w:rsidRPr="009D2121">
        <w:rPr>
          <w:sz w:val="24"/>
          <w:szCs w:val="24"/>
        </w:rPr>
        <w:t>:</w:t>
      </w:r>
    </w:p>
    <w:p w14:paraId="22D646B3" w14:textId="36470636" w:rsidR="00A94783" w:rsidRPr="009D2121" w:rsidRDefault="0042728A" w:rsidP="00A94783">
      <w:pPr>
        <w:spacing w:after="0"/>
        <w:rPr>
          <w:b/>
          <w:color w:val="C00000"/>
          <w:sz w:val="24"/>
          <w:szCs w:val="24"/>
        </w:rPr>
      </w:pPr>
      <w:r w:rsidRPr="0042728A">
        <w:rPr>
          <w:b/>
          <w:color w:val="C00000"/>
          <w:sz w:val="24"/>
          <w:szCs w:val="24"/>
        </w:rPr>
        <w:t>4</w:t>
      </w:r>
      <w:r w:rsidRPr="0042728A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</w:t>
      </w:r>
      <w:r w:rsidRPr="0042728A">
        <w:rPr>
          <w:b/>
          <w:color w:val="C00000"/>
          <w:sz w:val="24"/>
          <w:szCs w:val="24"/>
        </w:rPr>
        <w:t>November</w:t>
      </w:r>
      <w:r w:rsidR="00A94783" w:rsidRPr="009D2121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4C4F22" w14:textId="77777777" w:rsidR="00863789" w:rsidRPr="00863789" w:rsidRDefault="00863789" w:rsidP="00863789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5084B812" w14:textId="77777777" w:rsidR="00863789" w:rsidRPr="00863789" w:rsidRDefault="00863789" w:rsidP="00863789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0E9679F6" w14:textId="77777777" w:rsidR="00863789" w:rsidRDefault="00863789" w:rsidP="00863789">
      <w:pPr>
        <w:spacing w:after="0"/>
        <w:rPr>
          <w:sz w:val="12"/>
          <w:szCs w:val="12"/>
        </w:rPr>
      </w:pPr>
    </w:p>
    <w:p w14:paraId="44CED630" w14:textId="53029986" w:rsidR="00F662DB" w:rsidRPr="00F662DB" w:rsidRDefault="00F662DB" w:rsidP="00F662DB">
      <w:pPr>
        <w:spacing w:after="0"/>
        <w:rPr>
          <w:sz w:val="12"/>
          <w:szCs w:val="12"/>
        </w:rPr>
      </w:pPr>
      <w:r w:rsidRPr="00F662DB">
        <w:rPr>
          <w:sz w:val="12"/>
          <w:szCs w:val="12"/>
        </w:rPr>
        <w:t xml:space="preserve">“House of Opportunity” is the operating name of FSCI (UK), </w:t>
      </w:r>
    </w:p>
    <w:p w14:paraId="22D646B6" w14:textId="4DFBBC2A" w:rsidR="00A94783" w:rsidRDefault="00F662DB" w:rsidP="00F662DB">
      <w:pPr>
        <w:spacing w:after="0"/>
      </w:pPr>
      <w:r w:rsidRPr="00F662DB">
        <w:rPr>
          <w:sz w:val="12"/>
          <w:szCs w:val="12"/>
        </w:rPr>
        <w:t>which is  Registered Charity in England &amp; Wales (1170914)</w:t>
      </w:r>
    </w:p>
    <w:p w14:paraId="0CE143C2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1432D6DA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44F0BEFC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1D5772D0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2834E4E7" w14:textId="77777777" w:rsidR="00004C8F" w:rsidRDefault="00004C8F" w:rsidP="00A94783">
      <w:pPr>
        <w:spacing w:after="0"/>
        <w:rPr>
          <w:b/>
          <w:sz w:val="24"/>
          <w:szCs w:val="24"/>
        </w:rPr>
      </w:pPr>
    </w:p>
    <w:p w14:paraId="22D646BA" w14:textId="3EDC65A9" w:rsidR="00A94783" w:rsidRPr="009D2121" w:rsidRDefault="00A94783" w:rsidP="00A94783">
      <w:pPr>
        <w:spacing w:after="0"/>
        <w:rPr>
          <w:b/>
          <w:sz w:val="24"/>
          <w:szCs w:val="24"/>
        </w:rPr>
      </w:pPr>
      <w:r w:rsidRPr="009D2121">
        <w:rPr>
          <w:b/>
          <w:sz w:val="24"/>
          <w:szCs w:val="24"/>
        </w:rPr>
        <w:t>Dear Parent or Guardian,</w:t>
      </w:r>
    </w:p>
    <w:p w14:paraId="22D646BB" w14:textId="47DF6DFE" w:rsidR="00A94783" w:rsidRPr="009D2121" w:rsidRDefault="00A94783" w:rsidP="00A94783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This autumn the school has chosen to support the Christmas box appeal run by </w:t>
      </w:r>
      <w:r w:rsidR="00614305" w:rsidRPr="00614305">
        <w:rPr>
          <w:sz w:val="24"/>
          <w:szCs w:val="24"/>
        </w:rPr>
        <w:t>House of Opportunity (houseofopportunity.org).</w:t>
      </w:r>
      <w:r w:rsidR="00323DC5">
        <w:rPr>
          <w:sz w:val="24"/>
          <w:szCs w:val="24"/>
        </w:rPr>
        <w:t xml:space="preserve"> Rather than</w:t>
      </w:r>
      <w:r w:rsidRPr="009D2121">
        <w:rPr>
          <w:sz w:val="24"/>
          <w:szCs w:val="24"/>
        </w:rPr>
        <w:t xml:space="preserve"> asking children to bring in a fully </w:t>
      </w:r>
      <w:r w:rsidR="00323DC5">
        <w:rPr>
          <w:sz w:val="24"/>
          <w:szCs w:val="24"/>
        </w:rPr>
        <w:t xml:space="preserve">made-up box from home </w:t>
      </w:r>
      <w:r w:rsidRPr="009D2121">
        <w:rPr>
          <w:sz w:val="24"/>
          <w:szCs w:val="24"/>
        </w:rPr>
        <w:t>we are asking for donations of items in bulk (e.g. a dozen toothbrushes). Once the items are collected into the school the pupils will make up presents for children and families in Southe</w:t>
      </w:r>
      <w:r w:rsidR="00863789">
        <w:rPr>
          <w:sz w:val="24"/>
          <w:szCs w:val="24"/>
        </w:rPr>
        <w:t xml:space="preserve">ast Europe. </w:t>
      </w:r>
      <w:r w:rsidR="00BB5A2A">
        <w:rPr>
          <w:sz w:val="24"/>
          <w:szCs w:val="24"/>
        </w:rPr>
        <w:t xml:space="preserve">This keeps costs lower for you but is still an </w:t>
      </w:r>
      <w:r w:rsidR="00BB5A2A" w:rsidRPr="009D2121">
        <w:rPr>
          <w:sz w:val="24"/>
          <w:szCs w:val="24"/>
        </w:rPr>
        <w:t>effective way of making up lots of Christmas boxes!</w:t>
      </w:r>
    </w:p>
    <w:p w14:paraId="22D646BC" w14:textId="77777777" w:rsidR="00A94783" w:rsidRPr="003E47D6" w:rsidRDefault="00A94783" w:rsidP="00A94783">
      <w:pPr>
        <w:spacing w:after="0"/>
        <w:rPr>
          <w:sz w:val="16"/>
          <w:szCs w:val="16"/>
        </w:rPr>
      </w:pPr>
    </w:p>
    <w:p w14:paraId="22D646BD" w14:textId="445FD282" w:rsidR="00A94783" w:rsidRDefault="00A94783" w:rsidP="00A94783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>If you would like to support the Christmas box appeal this year</w:t>
      </w:r>
      <w:r w:rsidR="00863789">
        <w:rPr>
          <w:sz w:val="24"/>
          <w:szCs w:val="24"/>
        </w:rPr>
        <w:t xml:space="preserve">, </w:t>
      </w:r>
      <w:r w:rsidRPr="009D2121">
        <w:rPr>
          <w:sz w:val="24"/>
          <w:szCs w:val="24"/>
        </w:rPr>
        <w:t>please choose from the list of items below (feel free to donate more than one type of item should you wish!) and send them into schoo</w:t>
      </w:r>
      <w:r>
        <w:rPr>
          <w:sz w:val="24"/>
          <w:szCs w:val="24"/>
        </w:rPr>
        <w:t>l along with an empty shoebox</w:t>
      </w:r>
      <w:r w:rsidRPr="009D2121">
        <w:rPr>
          <w:sz w:val="24"/>
          <w:szCs w:val="24"/>
        </w:rPr>
        <w:t xml:space="preserve">. </w:t>
      </w:r>
    </w:p>
    <w:p w14:paraId="58623BDF" w14:textId="77777777" w:rsidR="00863789" w:rsidRPr="00004C8F" w:rsidRDefault="00863789" w:rsidP="00863789">
      <w:pPr>
        <w:spacing w:after="0"/>
        <w:rPr>
          <w:b/>
          <w:sz w:val="16"/>
          <w:szCs w:val="16"/>
        </w:rPr>
      </w:pPr>
    </w:p>
    <w:p w14:paraId="2F1C93EA" w14:textId="0140079D" w:rsidR="00863789" w:rsidRPr="009D2121" w:rsidRDefault="00863789" w:rsidP="00863789">
      <w:pPr>
        <w:spacing w:after="0"/>
        <w:rPr>
          <w:sz w:val="24"/>
          <w:szCs w:val="24"/>
        </w:rPr>
      </w:pPr>
      <w:r w:rsidRPr="00446DEA">
        <w:rPr>
          <w:b/>
          <w:sz w:val="24"/>
          <w:szCs w:val="24"/>
        </w:rPr>
        <w:t>Please also consider donating £</w:t>
      </w:r>
      <w:r w:rsidR="00FD7575">
        <w:rPr>
          <w:b/>
          <w:sz w:val="24"/>
          <w:szCs w:val="24"/>
        </w:rPr>
        <w:t>4</w:t>
      </w:r>
      <w:r w:rsidRPr="00446DEA">
        <w:rPr>
          <w:b/>
          <w:sz w:val="24"/>
          <w:szCs w:val="24"/>
        </w:rPr>
        <w:t xml:space="preserve"> to help cover what it will cost to ship our boxes to Southeast Europe</w:t>
      </w:r>
      <w:r w:rsidRPr="009D2121">
        <w:rPr>
          <w:sz w:val="24"/>
          <w:szCs w:val="24"/>
        </w:rPr>
        <w:t>.</w:t>
      </w:r>
      <w:r w:rsidR="001F218E">
        <w:rPr>
          <w:sz w:val="24"/>
          <w:szCs w:val="24"/>
        </w:rPr>
        <w:t xml:space="preserve"> </w:t>
      </w:r>
      <w:r w:rsidR="001F218E" w:rsidRPr="004E1599">
        <w:rPr>
          <w:b/>
          <w:color w:val="0070C0"/>
          <w:sz w:val="24"/>
          <w:szCs w:val="24"/>
        </w:rPr>
        <w:t>Plus we need empty shoeboxes!</w:t>
      </w:r>
    </w:p>
    <w:p w14:paraId="22D646BE" w14:textId="77777777" w:rsidR="00A94783" w:rsidRPr="003E47D6" w:rsidRDefault="00A94783" w:rsidP="00A9478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3402"/>
      </w:tblGrid>
      <w:tr w:rsidR="00A94783" w14:paraId="22D646C2" w14:textId="77777777" w:rsidTr="00004C8F">
        <w:tc>
          <w:tcPr>
            <w:tcW w:w="2726" w:type="dxa"/>
          </w:tcPr>
          <w:p w14:paraId="22D646C0" w14:textId="44877864" w:rsidR="00A94783" w:rsidRPr="00DA48D2" w:rsidRDefault="00863789" w:rsidP="0027389A">
            <w:pPr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9D2121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2D646DD" wp14:editId="78E6BFF8">
                  <wp:simplePos x="0" y="0"/>
                  <wp:positionH relativeFrom="column">
                    <wp:posOffset>3443605</wp:posOffset>
                  </wp:positionH>
                  <wp:positionV relativeFrom="paragraph">
                    <wp:posOffset>354330</wp:posOffset>
                  </wp:positionV>
                  <wp:extent cx="1303655" cy="2100580"/>
                  <wp:effectExtent l="0" t="0" r="0" b="0"/>
                  <wp:wrapNone/>
                  <wp:docPr id="9" name="Picture 9" descr="C:\Users\richard\Dropbox (Trussell Trust)\Overseas\Christmas Box Appeal &amp; Summer Camps\Christmas Box Appeal Folder\2017 +\boy-with-box-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d\Dropbox (Trussell Trust)\Overseas\Christmas Box Appeal &amp; Summer Camps\Christmas Box Appeal Folder\2017 +\boy-with-box-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10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783" w:rsidRPr="00DA48D2">
              <w:rPr>
                <w:b/>
                <w:color w:val="00B050"/>
                <w:sz w:val="24"/>
                <w:szCs w:val="24"/>
              </w:rPr>
              <w:t>Sweets</w:t>
            </w:r>
          </w:p>
        </w:tc>
        <w:tc>
          <w:tcPr>
            <w:tcW w:w="3402" w:type="dxa"/>
          </w:tcPr>
          <w:p w14:paraId="22D646C1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Small “loom” kits</w:t>
            </w:r>
          </w:p>
        </w:tc>
      </w:tr>
      <w:tr w:rsidR="00A94783" w14:paraId="22D646C5" w14:textId="77777777" w:rsidTr="00004C8F">
        <w:tc>
          <w:tcPr>
            <w:tcW w:w="2726" w:type="dxa"/>
          </w:tcPr>
          <w:p w14:paraId="22D646C3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Small toys</w:t>
            </w:r>
          </w:p>
        </w:tc>
        <w:tc>
          <w:tcPr>
            <w:tcW w:w="3402" w:type="dxa"/>
          </w:tcPr>
          <w:p w14:paraId="22D646C4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Toothpaste/brushes</w:t>
            </w:r>
          </w:p>
        </w:tc>
      </w:tr>
      <w:tr w:rsidR="00A94783" w14:paraId="22D646C8" w14:textId="77777777" w:rsidTr="00004C8F">
        <w:tc>
          <w:tcPr>
            <w:tcW w:w="2726" w:type="dxa"/>
          </w:tcPr>
          <w:p w14:paraId="22D646C6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 w:rsidRPr="00DA48D2">
              <w:rPr>
                <w:b/>
                <w:color w:val="00B050"/>
                <w:sz w:val="24"/>
                <w:szCs w:val="24"/>
              </w:rPr>
              <w:t>Hats</w:t>
            </w:r>
            <w:r>
              <w:rPr>
                <w:b/>
                <w:color w:val="00B050"/>
                <w:sz w:val="24"/>
                <w:szCs w:val="24"/>
              </w:rPr>
              <w:t>/gloves/scarves</w:t>
            </w:r>
          </w:p>
        </w:tc>
        <w:tc>
          <w:tcPr>
            <w:tcW w:w="3402" w:type="dxa"/>
          </w:tcPr>
          <w:p w14:paraId="22D646C7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>Colouring/sticker books</w:t>
            </w:r>
          </w:p>
        </w:tc>
      </w:tr>
      <w:tr w:rsidR="00A94783" w14:paraId="22D646CB" w14:textId="77777777" w:rsidTr="00004C8F">
        <w:tc>
          <w:tcPr>
            <w:tcW w:w="2726" w:type="dxa"/>
          </w:tcPr>
          <w:p w14:paraId="22D646C9" w14:textId="77777777" w:rsidR="00A94783" w:rsidRPr="00DA48D2" w:rsidRDefault="00A94783" w:rsidP="0027389A">
            <w:pPr>
              <w:pStyle w:val="ListParagraph"/>
              <w:numPr>
                <w:ilvl w:val="0"/>
                <w:numId w:val="1"/>
              </w:numPr>
              <w:ind w:left="426"/>
              <w:rPr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Pens/pencils/cases</w:t>
            </w:r>
          </w:p>
        </w:tc>
        <w:tc>
          <w:tcPr>
            <w:tcW w:w="3402" w:type="dxa"/>
          </w:tcPr>
          <w:p w14:paraId="22D646CA" w14:textId="77777777" w:rsidR="00A94783" w:rsidRPr="00A94783" w:rsidRDefault="00A94783" w:rsidP="0027389A">
            <w:pPr>
              <w:pStyle w:val="ListParagraph"/>
              <w:numPr>
                <w:ilvl w:val="0"/>
                <w:numId w:val="3"/>
              </w:numPr>
              <w:rPr>
                <w:color w:val="00B050"/>
                <w:sz w:val="24"/>
                <w:szCs w:val="24"/>
              </w:rPr>
            </w:pPr>
            <w:r w:rsidRPr="00A94783">
              <w:rPr>
                <w:b/>
                <w:color w:val="00B050"/>
                <w:sz w:val="24"/>
                <w:szCs w:val="24"/>
              </w:rPr>
              <w:t xml:space="preserve">Combs/hair accessories </w:t>
            </w:r>
          </w:p>
        </w:tc>
      </w:tr>
    </w:tbl>
    <w:p w14:paraId="22D646CC" w14:textId="2D05DDBE" w:rsidR="00A94783" w:rsidRDefault="00A94783" w:rsidP="00A94783">
      <w:pPr>
        <w:spacing w:after="0"/>
        <w:rPr>
          <w:b/>
          <w:color w:val="00B050"/>
          <w:sz w:val="24"/>
          <w:szCs w:val="24"/>
        </w:rPr>
      </w:pPr>
    </w:p>
    <w:p w14:paraId="58AC2B35" w14:textId="77777777" w:rsidR="00446DEA" w:rsidRPr="009D2121" w:rsidRDefault="00446DEA" w:rsidP="00446DEA">
      <w:pPr>
        <w:spacing w:after="0"/>
        <w:rPr>
          <w:sz w:val="24"/>
          <w:szCs w:val="24"/>
        </w:rPr>
      </w:pPr>
      <w:r w:rsidRPr="009D2121">
        <w:rPr>
          <w:sz w:val="24"/>
          <w:szCs w:val="24"/>
        </w:rPr>
        <w:t xml:space="preserve">Deadline to get items </w:t>
      </w:r>
      <w:r>
        <w:rPr>
          <w:sz w:val="24"/>
          <w:szCs w:val="24"/>
        </w:rPr>
        <w:t xml:space="preserve">and donations </w:t>
      </w:r>
      <w:r w:rsidRPr="009D2121">
        <w:rPr>
          <w:sz w:val="24"/>
          <w:szCs w:val="24"/>
        </w:rPr>
        <w:t>in</w:t>
      </w:r>
      <w:r>
        <w:rPr>
          <w:sz w:val="24"/>
          <w:szCs w:val="24"/>
        </w:rPr>
        <w:t>to the school</w:t>
      </w:r>
      <w:r w:rsidRPr="009D2121">
        <w:rPr>
          <w:sz w:val="24"/>
          <w:szCs w:val="24"/>
        </w:rPr>
        <w:t>:</w:t>
      </w:r>
    </w:p>
    <w:p w14:paraId="22D646D1" w14:textId="58A76C36" w:rsidR="00A94783" w:rsidRPr="009D2121" w:rsidRDefault="0042728A" w:rsidP="00A94783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4</w:t>
      </w:r>
      <w:r w:rsidRPr="0042728A">
        <w:rPr>
          <w:b/>
          <w:color w:val="C00000"/>
          <w:sz w:val="24"/>
          <w:szCs w:val="24"/>
          <w:vertAlign w:val="superscript"/>
        </w:rPr>
        <w:t>th</w:t>
      </w:r>
      <w:r>
        <w:rPr>
          <w:b/>
          <w:color w:val="C00000"/>
          <w:sz w:val="24"/>
          <w:szCs w:val="24"/>
        </w:rPr>
        <w:t xml:space="preserve"> November</w:t>
      </w:r>
    </w:p>
    <w:p w14:paraId="62FFA996" w14:textId="77777777" w:rsidR="00863789" w:rsidRPr="00863789" w:rsidRDefault="00863789" w:rsidP="00863789">
      <w:pPr>
        <w:spacing w:after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519C7DF" w14:textId="77777777" w:rsidR="00863789" w:rsidRPr="00863789" w:rsidRDefault="00863789" w:rsidP="00863789">
      <w:pPr>
        <w:spacing w:after="0"/>
        <w:rPr>
          <w:i/>
          <w:color w:val="000000" w:themeColor="text1"/>
          <w:sz w:val="32"/>
          <w:szCs w:val="32"/>
        </w:rPr>
      </w:pPr>
      <w:r w:rsidRPr="00863789">
        <w:rPr>
          <w:i/>
          <w:color w:val="000000" w:themeColor="text1"/>
          <w:sz w:val="32"/>
          <w:szCs w:val="32"/>
        </w:rPr>
        <w:t>Thank you!</w:t>
      </w:r>
    </w:p>
    <w:p w14:paraId="49156A76" w14:textId="77777777" w:rsidR="00863789" w:rsidRDefault="00863789" w:rsidP="00863789">
      <w:pPr>
        <w:spacing w:after="0"/>
        <w:rPr>
          <w:sz w:val="12"/>
          <w:szCs w:val="12"/>
        </w:rPr>
      </w:pPr>
    </w:p>
    <w:p w14:paraId="2427D6FB" w14:textId="4D8AD9DB" w:rsidR="00F662DB" w:rsidRPr="00F662DB" w:rsidRDefault="00F662DB" w:rsidP="00F662DB">
      <w:pPr>
        <w:spacing w:after="0"/>
        <w:rPr>
          <w:sz w:val="12"/>
          <w:szCs w:val="12"/>
        </w:rPr>
      </w:pPr>
      <w:r w:rsidRPr="00F662DB">
        <w:rPr>
          <w:sz w:val="12"/>
          <w:szCs w:val="12"/>
        </w:rPr>
        <w:t xml:space="preserve">“House of Opportunity” is the operating name of FSCI (UK), </w:t>
      </w:r>
    </w:p>
    <w:p w14:paraId="22D646D5" w14:textId="1A1A5C3B" w:rsidR="00A94783" w:rsidRDefault="00F662DB" w:rsidP="00A2355D">
      <w:pPr>
        <w:spacing w:after="0"/>
      </w:pPr>
      <w:r w:rsidRPr="00F662DB">
        <w:rPr>
          <w:sz w:val="12"/>
          <w:szCs w:val="12"/>
        </w:rPr>
        <w:t>which is  Registered Charity in England &amp; Wales (1170914)</w:t>
      </w:r>
    </w:p>
    <w:p w14:paraId="22D646D6" w14:textId="77777777" w:rsidR="00DA48D2" w:rsidRDefault="00DA48D2"/>
    <w:sectPr w:rsidR="00DA48D2" w:rsidSect="009D212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FDD"/>
    <w:multiLevelType w:val="hybridMultilevel"/>
    <w:tmpl w:val="C04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18B5"/>
    <w:multiLevelType w:val="hybridMultilevel"/>
    <w:tmpl w:val="FE84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772"/>
    <w:multiLevelType w:val="hybridMultilevel"/>
    <w:tmpl w:val="43E0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57F41"/>
    <w:multiLevelType w:val="hybridMultilevel"/>
    <w:tmpl w:val="7168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434193">
    <w:abstractNumId w:val="0"/>
  </w:num>
  <w:num w:numId="2" w16cid:durableId="1808354730">
    <w:abstractNumId w:val="3"/>
  </w:num>
  <w:num w:numId="3" w16cid:durableId="91316294">
    <w:abstractNumId w:val="1"/>
  </w:num>
  <w:num w:numId="4" w16cid:durableId="203911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21"/>
    <w:rsid w:val="00004C8F"/>
    <w:rsid w:val="000C7694"/>
    <w:rsid w:val="000D1BDB"/>
    <w:rsid w:val="001F218E"/>
    <w:rsid w:val="002B16E2"/>
    <w:rsid w:val="00323DC5"/>
    <w:rsid w:val="003E47D6"/>
    <w:rsid w:val="0042728A"/>
    <w:rsid w:val="00446DEA"/>
    <w:rsid w:val="0046347D"/>
    <w:rsid w:val="00565286"/>
    <w:rsid w:val="005A35BD"/>
    <w:rsid w:val="00614305"/>
    <w:rsid w:val="00644046"/>
    <w:rsid w:val="00863789"/>
    <w:rsid w:val="009D2121"/>
    <w:rsid w:val="00A2355D"/>
    <w:rsid w:val="00A36383"/>
    <w:rsid w:val="00A94783"/>
    <w:rsid w:val="00BB5A2A"/>
    <w:rsid w:val="00D00C52"/>
    <w:rsid w:val="00D16EE7"/>
    <w:rsid w:val="00DA48D2"/>
    <w:rsid w:val="00E001BF"/>
    <w:rsid w:val="00E46A13"/>
    <w:rsid w:val="00F662DB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465F"/>
  <w15:docId w15:val="{FC382030-A401-497F-A0EE-FE92447D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121"/>
    <w:pPr>
      <w:ind w:left="720"/>
      <w:contextualSpacing/>
    </w:pPr>
  </w:style>
  <w:style w:type="table" w:styleId="TableGrid">
    <w:name w:val="Table Grid"/>
    <w:basedOn w:val="TableNormal"/>
    <w:uiPriority w:val="59"/>
    <w:rsid w:val="00DA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Parsons</dc:creator>
  <cp:lastModifiedBy>Rich Parsons</cp:lastModifiedBy>
  <cp:revision>17</cp:revision>
  <dcterms:created xsi:type="dcterms:W3CDTF">2018-07-18T09:37:00Z</dcterms:created>
  <dcterms:modified xsi:type="dcterms:W3CDTF">2023-06-07T14:19:00Z</dcterms:modified>
</cp:coreProperties>
</file>